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A94270" w:rsidRDefault="00BA21B4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8"/>
          <w:szCs w:val="20"/>
        </w:rPr>
      </w:pPr>
      <w:r w:rsidRPr="00A94270">
        <w:rPr>
          <w:rFonts w:ascii="NeoSansPro-Bold" w:hAnsi="NeoSansPro-Bold" w:cs="NeoSansPro-Bold"/>
          <w:b/>
          <w:bCs/>
          <w:noProof/>
          <w:color w:val="404040"/>
          <w:sz w:val="18"/>
          <w:szCs w:val="20"/>
          <w:lang w:eastAsia="es-MX"/>
        </w:rPr>
        <w:drawing>
          <wp:inline distT="0" distB="0" distL="0" distR="0" wp14:anchorId="0B258A71" wp14:editId="3A3CD16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</w:p>
    <w:p w:rsidR="00AB5916" w:rsidRPr="00A94270" w:rsidRDefault="003E7CE6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A94270">
        <w:rPr>
          <w:rFonts w:ascii="Arial" w:hAnsi="Arial" w:cs="Arial"/>
          <w:b/>
          <w:bCs/>
          <w:color w:val="404040"/>
          <w:szCs w:val="24"/>
        </w:rPr>
        <w:t>Nombre</w:t>
      </w:r>
      <w:r w:rsidR="00BC048D" w:rsidRPr="00A94270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F45764" w:rsidRPr="00A94270">
        <w:rPr>
          <w:rFonts w:ascii="Arial" w:hAnsi="Arial" w:cs="Arial"/>
          <w:bCs/>
          <w:color w:val="404040"/>
          <w:szCs w:val="24"/>
        </w:rPr>
        <w:t>José Luis Jiménez Salas</w:t>
      </w:r>
    </w:p>
    <w:p w:rsidR="00AB5916" w:rsidRPr="00A94270" w:rsidRDefault="00AB5916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A94270">
        <w:rPr>
          <w:rFonts w:ascii="Arial" w:hAnsi="Arial" w:cs="Arial"/>
          <w:b/>
          <w:bCs/>
          <w:color w:val="404040"/>
          <w:szCs w:val="24"/>
        </w:rPr>
        <w:t>Grado de Escolaridad</w:t>
      </w:r>
      <w:r w:rsidR="00BC048D" w:rsidRPr="00A94270">
        <w:rPr>
          <w:rFonts w:ascii="Arial" w:hAnsi="Arial" w:cs="Arial"/>
          <w:b/>
          <w:bCs/>
          <w:color w:val="404040"/>
          <w:szCs w:val="24"/>
        </w:rPr>
        <w:t>:</w:t>
      </w:r>
      <w:r w:rsidRPr="00A94270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F45764" w:rsidRPr="00A94270">
        <w:rPr>
          <w:rFonts w:ascii="Arial" w:hAnsi="Arial" w:cs="Arial"/>
          <w:bCs/>
          <w:color w:val="404040"/>
          <w:szCs w:val="24"/>
        </w:rPr>
        <w:t>Licenciatura</w:t>
      </w:r>
      <w:r w:rsidR="00BC048D" w:rsidRPr="00A94270">
        <w:rPr>
          <w:rFonts w:ascii="Arial" w:hAnsi="Arial" w:cs="Arial"/>
          <w:bCs/>
          <w:color w:val="404040"/>
          <w:szCs w:val="24"/>
        </w:rPr>
        <w:t>.</w:t>
      </w:r>
    </w:p>
    <w:p w:rsidR="00AB5916" w:rsidRPr="00A94270" w:rsidRDefault="00AB5916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A94270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A94270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A94270">
        <w:rPr>
          <w:rFonts w:ascii="Arial" w:hAnsi="Arial" w:cs="Arial"/>
          <w:b/>
          <w:bCs/>
          <w:color w:val="404040"/>
          <w:szCs w:val="24"/>
        </w:rPr>
        <w:t>)</w:t>
      </w:r>
      <w:r w:rsidR="00BC048D" w:rsidRPr="00A94270">
        <w:rPr>
          <w:rFonts w:ascii="Arial" w:hAnsi="Arial" w:cs="Arial"/>
          <w:b/>
          <w:bCs/>
          <w:color w:val="404040"/>
          <w:szCs w:val="24"/>
        </w:rPr>
        <w:t>:</w:t>
      </w:r>
      <w:r w:rsidR="003E7CE6" w:rsidRPr="00A94270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F17910" w:rsidRPr="00A94270">
        <w:rPr>
          <w:rFonts w:ascii="Arial" w:hAnsi="Arial" w:cs="Arial"/>
          <w:bCs/>
          <w:color w:val="404040"/>
          <w:szCs w:val="24"/>
        </w:rPr>
        <w:t>5165796</w:t>
      </w:r>
    </w:p>
    <w:p w:rsidR="00AB5916" w:rsidRPr="00A94270" w:rsidRDefault="00AB5916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BC048D" w:rsidRPr="00A94270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F17910" w:rsidRPr="00A94270">
        <w:rPr>
          <w:rFonts w:ascii="Arial" w:hAnsi="Arial" w:cs="Arial"/>
          <w:bCs/>
          <w:color w:val="404040"/>
          <w:szCs w:val="24"/>
        </w:rPr>
        <w:t>923 106 0538</w:t>
      </w:r>
    </w:p>
    <w:p w:rsidR="00AB5916" w:rsidRPr="00A94270" w:rsidRDefault="00AB5916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  <w:r w:rsidRPr="00A94270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A94270">
        <w:rPr>
          <w:rFonts w:ascii="Arial" w:hAnsi="Arial" w:cs="Arial"/>
          <w:b/>
          <w:bCs/>
          <w:color w:val="404040"/>
          <w:szCs w:val="24"/>
        </w:rPr>
        <w:t>Electrónico</w:t>
      </w:r>
      <w:r w:rsidR="00BC048D" w:rsidRPr="00A94270">
        <w:rPr>
          <w:rFonts w:ascii="Arial" w:hAnsi="Arial" w:cs="Arial"/>
          <w:b/>
          <w:bCs/>
          <w:color w:val="404040"/>
          <w:szCs w:val="24"/>
        </w:rPr>
        <w:t>:</w:t>
      </w:r>
    </w:p>
    <w:p w:rsidR="00BB2BF2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</w:p>
    <w:p w:rsidR="00BB2BF2" w:rsidRPr="00A94270" w:rsidRDefault="00B55469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  <w:r w:rsidRPr="00A94270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 wp14:anchorId="4A3AC177" wp14:editId="4B1CC75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94270">
        <w:rPr>
          <w:rFonts w:ascii="NeoSansPro-Bold" w:hAnsi="NeoSansPro-Bold" w:cs="NeoSansPro-Bold"/>
          <w:b/>
          <w:bCs/>
          <w:color w:val="FFFFFF"/>
          <w:szCs w:val="24"/>
        </w:rPr>
        <w:t>Formación Académica</w:t>
      </w:r>
    </w:p>
    <w:p w:rsidR="00BC048D" w:rsidRPr="00A94270" w:rsidRDefault="00BC048D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</w:p>
    <w:p w:rsidR="00BB2BF2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  <w:r w:rsidRPr="00A94270">
        <w:rPr>
          <w:rFonts w:ascii="Arial" w:hAnsi="Arial" w:cs="Arial"/>
          <w:b/>
          <w:color w:val="404040"/>
          <w:szCs w:val="24"/>
        </w:rPr>
        <w:t>Año</w:t>
      </w:r>
    </w:p>
    <w:p w:rsidR="00BA21B4" w:rsidRPr="00A94270" w:rsidRDefault="00F45764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A94270">
        <w:rPr>
          <w:rFonts w:ascii="Arial" w:hAnsi="Arial" w:cs="Arial"/>
          <w:color w:val="404040"/>
          <w:szCs w:val="24"/>
        </w:rPr>
        <w:t>2000-2004. Licenciatura en Administración de Empresas. Universidad Veracruzana.</w:t>
      </w:r>
    </w:p>
    <w:p w:rsidR="00F45764" w:rsidRPr="00A94270" w:rsidRDefault="00F45764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A94270">
        <w:rPr>
          <w:rFonts w:ascii="Arial" w:hAnsi="Arial" w:cs="Arial"/>
          <w:color w:val="404040"/>
          <w:szCs w:val="24"/>
        </w:rPr>
        <w:t xml:space="preserve">2015-2019. </w:t>
      </w:r>
      <w:r w:rsidR="00F6148B" w:rsidRPr="00A94270">
        <w:rPr>
          <w:rFonts w:ascii="Arial" w:hAnsi="Arial" w:cs="Arial"/>
          <w:color w:val="404040"/>
          <w:szCs w:val="24"/>
        </w:rPr>
        <w:t>L</w:t>
      </w:r>
      <w:r w:rsidRPr="00A94270">
        <w:rPr>
          <w:rFonts w:ascii="Arial" w:hAnsi="Arial" w:cs="Arial"/>
          <w:color w:val="404040"/>
          <w:szCs w:val="24"/>
        </w:rPr>
        <w:t>icenciatura en Derecho. Universidad Paciolli Xalapa.</w:t>
      </w:r>
      <w:r w:rsidR="00F17910" w:rsidRPr="00A94270">
        <w:rPr>
          <w:rFonts w:ascii="Arial" w:hAnsi="Arial" w:cs="Arial"/>
          <w:color w:val="404040"/>
          <w:szCs w:val="24"/>
        </w:rPr>
        <w:t xml:space="preserve"> (Trámite).</w:t>
      </w:r>
    </w:p>
    <w:p w:rsidR="00BB2BF2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</w:p>
    <w:p w:rsidR="00AB5916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  <w:r w:rsidRPr="00A94270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 wp14:anchorId="2A18885C" wp14:editId="0A3401E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94270">
        <w:rPr>
          <w:rFonts w:ascii="NeoSansPro-Bold" w:hAnsi="NeoSansPro-Bold" w:cs="NeoSansPro-Bold"/>
          <w:b/>
          <w:bCs/>
          <w:color w:val="FFFFFF"/>
          <w:szCs w:val="24"/>
        </w:rPr>
        <w:t>Trayectoria Profesional</w:t>
      </w:r>
    </w:p>
    <w:p w:rsidR="00BB2BF2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</w:p>
    <w:p w:rsidR="00BB2BF2" w:rsidRPr="00A94270" w:rsidRDefault="00BB2BF2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A94270">
        <w:rPr>
          <w:rFonts w:ascii="Arial" w:hAnsi="Arial" w:cs="Arial"/>
          <w:b/>
          <w:color w:val="404040"/>
          <w:szCs w:val="24"/>
        </w:rPr>
        <w:t>Año</w:t>
      </w:r>
    </w:p>
    <w:p w:rsidR="00AB5916" w:rsidRPr="00A94270" w:rsidRDefault="00F45764" w:rsidP="00F17910">
      <w:pPr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b/>
          <w:color w:val="404040"/>
          <w:szCs w:val="24"/>
        </w:rPr>
        <w:t>Dic-2019 a la fecha.</w:t>
      </w:r>
      <w:r w:rsidRPr="00A94270">
        <w:rPr>
          <w:rFonts w:ascii="NeoSansPro-Regular" w:hAnsi="NeoSansPro-Regular" w:cs="NeoSansPro-Regular"/>
          <w:color w:val="404040"/>
          <w:szCs w:val="24"/>
        </w:rPr>
        <w:t xml:space="preserve"> Facilitador Primero de la Sub Unidad de Atención Temprana de Agua Dulce del XXI Distrito Judicial en Coatzacoalcos. Órgano Especializado en </w:t>
      </w:r>
      <w:r w:rsidR="00F6148B" w:rsidRPr="00A94270">
        <w:rPr>
          <w:rFonts w:ascii="NeoSansPro-Regular" w:hAnsi="NeoSansPro-Regular" w:cs="NeoSansPro-Regular"/>
          <w:color w:val="404040"/>
          <w:szCs w:val="24"/>
        </w:rPr>
        <w:t>M</w:t>
      </w:r>
      <w:r w:rsidRPr="00A94270">
        <w:rPr>
          <w:rFonts w:ascii="NeoSansPro-Regular" w:hAnsi="NeoSansPro-Regular" w:cs="NeoSansPro-Regular"/>
          <w:color w:val="404040"/>
          <w:szCs w:val="24"/>
        </w:rPr>
        <w:t>ecanismos Alternativos de Solución de Controversias en Materia Penal de la Fiscalía General del Estado de Veracruz.</w:t>
      </w:r>
    </w:p>
    <w:p w:rsidR="00F45764" w:rsidRPr="00A94270" w:rsidRDefault="00F45764" w:rsidP="00F17910">
      <w:pPr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b/>
          <w:color w:val="404040"/>
          <w:szCs w:val="24"/>
        </w:rPr>
        <w:t xml:space="preserve">Marzo 2015-Diciembre 2019. </w:t>
      </w:r>
      <w:r w:rsidRPr="00A94270">
        <w:rPr>
          <w:rFonts w:ascii="NeoSansPro-Regular" w:hAnsi="NeoSansPro-Regular" w:cs="NeoSansPro-Regular"/>
          <w:color w:val="404040"/>
          <w:szCs w:val="24"/>
        </w:rPr>
        <w:t>Policía Ministerial Acreditable. Dirección General de la Policía Ministerial. Fiscalía General del Estado de Veracruz.</w:t>
      </w:r>
    </w:p>
    <w:p w:rsidR="00A94270" w:rsidRPr="00A94270" w:rsidRDefault="00A94270" w:rsidP="00F17910">
      <w:pPr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color w:val="404040"/>
          <w:szCs w:val="24"/>
        </w:rPr>
        <w:t>Enero – Junio 2014. Auxiliar de Recursos Humanos en la Secretaría de Desarrollo Social. SEDESOL.</w:t>
      </w:r>
    </w:p>
    <w:p w:rsidR="003B6AE3" w:rsidRPr="00A94270" w:rsidRDefault="00BA21B4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  <w:r w:rsidRPr="00A94270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 wp14:anchorId="08398B2E" wp14:editId="229D272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E3" w:rsidRPr="00A94270" w:rsidRDefault="003B6AE3" w:rsidP="00C356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color w:val="404040"/>
          <w:szCs w:val="24"/>
        </w:rPr>
        <w:t>Principios que rigen y disciplinan la función de un facilitador.</w:t>
      </w:r>
    </w:p>
    <w:p w:rsidR="003B6AE3" w:rsidRPr="00A94270" w:rsidRDefault="003B6AE3" w:rsidP="00C356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color w:val="404040"/>
          <w:szCs w:val="24"/>
        </w:rPr>
        <w:t>D</w:t>
      </w:r>
      <w:r w:rsidR="00B8357C" w:rsidRPr="00A94270">
        <w:rPr>
          <w:rFonts w:ascii="NeoSansPro-Regular" w:hAnsi="NeoSansPro-Regular" w:cs="NeoSansPro-Regular"/>
          <w:color w:val="404040"/>
          <w:szCs w:val="24"/>
        </w:rPr>
        <w:t>esarrollo</w:t>
      </w:r>
      <w:r w:rsidRPr="00A94270">
        <w:rPr>
          <w:rFonts w:ascii="NeoSansPro-Regular" w:hAnsi="NeoSansPro-Regular" w:cs="NeoSansPro-Regular"/>
          <w:color w:val="404040"/>
          <w:szCs w:val="24"/>
        </w:rPr>
        <w:t xml:space="preserve"> y aplic</w:t>
      </w:r>
      <w:r w:rsidR="00B8357C" w:rsidRPr="00A94270">
        <w:rPr>
          <w:rFonts w:ascii="NeoSansPro-Regular" w:hAnsi="NeoSansPro-Regular" w:cs="NeoSansPro-Regular"/>
          <w:color w:val="404040"/>
          <w:szCs w:val="24"/>
        </w:rPr>
        <w:t>ación</w:t>
      </w:r>
      <w:r w:rsidRPr="00A94270">
        <w:rPr>
          <w:rFonts w:ascii="NeoSansPro-Regular" w:hAnsi="NeoSansPro-Regular" w:cs="NeoSansPro-Regular"/>
          <w:color w:val="404040"/>
          <w:szCs w:val="24"/>
        </w:rPr>
        <w:t xml:space="preserve"> los mecanismos alternativos de solución de controversias establecidas en la Ley de la Material.</w:t>
      </w:r>
    </w:p>
    <w:p w:rsidR="003B6AE3" w:rsidRPr="00A94270" w:rsidRDefault="003B6AE3" w:rsidP="00C356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color w:val="404040"/>
          <w:szCs w:val="24"/>
        </w:rPr>
        <w:t>Tramitación de las Carpetas de Investigació</w:t>
      </w:r>
      <w:r w:rsidR="00B8357C" w:rsidRPr="00A94270">
        <w:rPr>
          <w:rFonts w:ascii="NeoSansPro-Regular" w:hAnsi="NeoSansPro-Regular" w:cs="NeoSansPro-Regular"/>
          <w:color w:val="404040"/>
          <w:szCs w:val="24"/>
        </w:rPr>
        <w:t>n y/o procesos penales en un té</w:t>
      </w:r>
      <w:r w:rsidRPr="00A94270">
        <w:rPr>
          <w:rFonts w:ascii="NeoSansPro-Regular" w:hAnsi="NeoSansPro-Regular" w:cs="NeoSansPro-Regular"/>
          <w:color w:val="404040"/>
          <w:szCs w:val="24"/>
        </w:rPr>
        <w:t xml:space="preserve">rmino no mayor </w:t>
      </w:r>
      <w:r w:rsidR="00B8357C" w:rsidRPr="00A94270">
        <w:rPr>
          <w:rFonts w:ascii="NeoSansPro-Regular" w:hAnsi="NeoSansPro-Regular" w:cs="NeoSansPro-Regular"/>
          <w:color w:val="404040"/>
          <w:szCs w:val="24"/>
        </w:rPr>
        <w:t>de 30 días naturales.</w:t>
      </w:r>
    </w:p>
    <w:p w:rsidR="00B8357C" w:rsidRPr="00A94270" w:rsidRDefault="00B8357C" w:rsidP="00C356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  <w:r w:rsidRPr="00A94270">
        <w:rPr>
          <w:rFonts w:ascii="NeoSansPro-Regular" w:hAnsi="NeoSansPro-Regular" w:cs="NeoSansPro-Regular"/>
          <w:color w:val="404040"/>
          <w:szCs w:val="24"/>
        </w:rPr>
        <w:t>Conocimiento de leyes aplicables en la materia, así como de los mecanismos: mediación, conciliación y junta restaurativa.</w:t>
      </w:r>
    </w:p>
    <w:p w:rsidR="00B8357C" w:rsidRPr="00A94270" w:rsidRDefault="00B8357C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</w:p>
    <w:p w:rsidR="00B8357C" w:rsidRPr="00A94270" w:rsidRDefault="00B8357C" w:rsidP="00F1791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</w:p>
    <w:sectPr w:rsidR="00B8357C" w:rsidRPr="00A94270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507" w:rsidRDefault="00856507" w:rsidP="00AB5916">
      <w:pPr>
        <w:spacing w:after="0" w:line="240" w:lineRule="auto"/>
      </w:pPr>
      <w:r>
        <w:separator/>
      </w:r>
    </w:p>
  </w:endnote>
  <w:endnote w:type="continuationSeparator" w:id="0">
    <w:p w:rsidR="00856507" w:rsidRDefault="0085650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507" w:rsidRDefault="00856507" w:rsidP="00AB5916">
      <w:pPr>
        <w:spacing w:after="0" w:line="240" w:lineRule="auto"/>
      </w:pPr>
      <w:r>
        <w:separator/>
      </w:r>
    </w:p>
  </w:footnote>
  <w:footnote w:type="continuationSeparator" w:id="0">
    <w:p w:rsidR="00856507" w:rsidRDefault="0085650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1076"/>
    <w:multiLevelType w:val="hybridMultilevel"/>
    <w:tmpl w:val="6FCEB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4F22"/>
    <w:multiLevelType w:val="hybridMultilevel"/>
    <w:tmpl w:val="3724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304E91"/>
    <w:rsid w:val="003B0E3D"/>
    <w:rsid w:val="003B6AE3"/>
    <w:rsid w:val="003E7CE6"/>
    <w:rsid w:val="00462C41"/>
    <w:rsid w:val="004A1170"/>
    <w:rsid w:val="004B2D6E"/>
    <w:rsid w:val="004E4FFA"/>
    <w:rsid w:val="005502F5"/>
    <w:rsid w:val="00552BD4"/>
    <w:rsid w:val="005A32B3"/>
    <w:rsid w:val="00600D12"/>
    <w:rsid w:val="006B643A"/>
    <w:rsid w:val="006C2CDA"/>
    <w:rsid w:val="00723B67"/>
    <w:rsid w:val="00726727"/>
    <w:rsid w:val="00785C57"/>
    <w:rsid w:val="00846235"/>
    <w:rsid w:val="00853B20"/>
    <w:rsid w:val="00856507"/>
    <w:rsid w:val="008E5FFD"/>
    <w:rsid w:val="009D5894"/>
    <w:rsid w:val="00A66637"/>
    <w:rsid w:val="00A94270"/>
    <w:rsid w:val="00AB5916"/>
    <w:rsid w:val="00B55469"/>
    <w:rsid w:val="00B8357C"/>
    <w:rsid w:val="00BA21B4"/>
    <w:rsid w:val="00BA6895"/>
    <w:rsid w:val="00BB2BF2"/>
    <w:rsid w:val="00BC048D"/>
    <w:rsid w:val="00C356AD"/>
    <w:rsid w:val="00CE7F12"/>
    <w:rsid w:val="00D03386"/>
    <w:rsid w:val="00DB2FA1"/>
    <w:rsid w:val="00DE2E01"/>
    <w:rsid w:val="00E71AD8"/>
    <w:rsid w:val="00EA5918"/>
    <w:rsid w:val="00F17910"/>
    <w:rsid w:val="00F37AAF"/>
    <w:rsid w:val="00F45764"/>
    <w:rsid w:val="00F6148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9FC2"/>
  <w15:docId w15:val="{799E06EA-24D4-43BD-843A-7D63BED5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12</cp:revision>
  <cp:lastPrinted>2019-10-08T18:25:00Z</cp:lastPrinted>
  <dcterms:created xsi:type="dcterms:W3CDTF">2020-03-25T21:36:00Z</dcterms:created>
  <dcterms:modified xsi:type="dcterms:W3CDTF">2020-04-18T00:20:00Z</dcterms:modified>
</cp:coreProperties>
</file>